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1691"/>
        <w:gridCol w:w="294"/>
        <w:gridCol w:w="7371"/>
      </w:tblGrid>
      <w:tr w:rsidR="00C243D2" w:rsidRPr="00C243D2" w14:paraId="17F5ADBD" w14:textId="77777777" w:rsidTr="004A27C2">
        <w:trPr>
          <w:trHeight w:val="1702"/>
          <w:jc w:val="center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598FF4F8" w14:textId="77777777" w:rsidR="00C243D2" w:rsidRPr="00C243D2" w:rsidRDefault="00C243D2" w:rsidP="00C2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C243D2">
              <w:rPr>
                <w:rFonts w:ascii="Times New Roman" w:eastAsia="Calibri" w:hAnsi="Times New Roman" w:cs="Times New Roman"/>
                <w:noProof/>
                <w:kern w:val="0"/>
                <w:sz w:val="32"/>
                <w:szCs w:val="32"/>
                <w:lang w:eastAsia="nl-BE"/>
                <w14:ligatures w14:val="none"/>
              </w:rPr>
              <w:drawing>
                <wp:inline distT="0" distB="0" distL="0" distR="0" wp14:anchorId="4716DBEA" wp14:editId="52FF78F2">
                  <wp:extent cx="716280" cy="1059180"/>
                  <wp:effectExtent l="0" t="0" r="7620" b="7620"/>
                  <wp:docPr id="190810074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B680D76" w14:textId="3469E26A" w:rsidR="00C243D2" w:rsidRPr="00C243D2" w:rsidRDefault="00C243D2" w:rsidP="00C243D2">
            <w:pPr>
              <w:autoSpaceDE w:val="0"/>
              <w:autoSpaceDN w:val="0"/>
              <w:adjustRightInd w:val="0"/>
              <w:spacing w:after="0" w:line="240" w:lineRule="auto"/>
              <w:ind w:left="-1691" w:right="-1417"/>
              <w:jc w:val="center"/>
              <w:rPr>
                <w:rFonts w:ascii="Times New Roman" w:eastAsia="Calibri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C243D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32"/>
                <w:szCs w:val="32"/>
                <w:lang w:val="nl-NL"/>
                <w14:ligatures w14:val="none"/>
              </w:rPr>
              <w:br/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FD945" w14:textId="77777777" w:rsidR="00C243D2" w:rsidRPr="00C243D2" w:rsidRDefault="00C243D2" w:rsidP="00C243D2">
            <w:pPr>
              <w:autoSpaceDE w:val="0"/>
              <w:autoSpaceDN w:val="0"/>
              <w:adjustRightInd w:val="0"/>
              <w:spacing w:after="0" w:line="240" w:lineRule="auto"/>
              <w:ind w:left="-1691" w:right="-1417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32"/>
                <w:szCs w:val="32"/>
                <w:lang w:val="nl-NL"/>
                <w14:ligatures w14:val="none"/>
              </w:rPr>
            </w:pPr>
            <w:r w:rsidRPr="00C243D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32"/>
                <w:szCs w:val="32"/>
                <w:lang w:val="nl-NL"/>
                <w14:ligatures w14:val="none"/>
              </w:rPr>
              <w:t>KONINKLIJKE  KRING  OFFICIEREN</w:t>
            </w:r>
          </w:p>
          <w:p w14:paraId="29DF00F6" w14:textId="77777777" w:rsidR="00C243D2" w:rsidRPr="00C243D2" w:rsidRDefault="00C243D2" w:rsidP="00C243D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1691" w:right="-1417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32"/>
                <w:szCs w:val="32"/>
                <w:lang w:val="nl-NL"/>
                <w14:ligatures w14:val="none"/>
              </w:rPr>
            </w:pPr>
            <w:r w:rsidRPr="00C243D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32"/>
                <w:szCs w:val="32"/>
                <w:lang w:val="nl-NL"/>
                <w14:ligatures w14:val="none"/>
              </w:rPr>
              <w:t>OUDENAARDE  EN  VLAAMSE  ARDENNEN</w:t>
            </w:r>
          </w:p>
          <w:p w14:paraId="6B34AF7C" w14:textId="77777777" w:rsidR="00C243D2" w:rsidRPr="00C243D2" w:rsidRDefault="00C243D2" w:rsidP="00C243D2">
            <w:pPr>
              <w:autoSpaceDE w:val="0"/>
              <w:autoSpaceDN w:val="0"/>
              <w:adjustRightInd w:val="0"/>
              <w:spacing w:after="0" w:line="240" w:lineRule="auto"/>
              <w:ind w:left="-1691" w:right="-1417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32"/>
                <w:szCs w:val="32"/>
                <w:lang w:val="nl-NL"/>
                <w14:ligatures w14:val="none"/>
              </w:rPr>
            </w:pPr>
            <w:r w:rsidRPr="00C243D2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32"/>
                <w:szCs w:val="32"/>
                <w:lang w:val="nl-NL"/>
                <w14:ligatures w14:val="none"/>
              </w:rPr>
              <w:t>KKROVA</w:t>
            </w:r>
          </w:p>
          <w:p w14:paraId="15D498C6" w14:textId="292D82B4" w:rsidR="00C243D2" w:rsidRPr="00C243D2" w:rsidRDefault="00C243D2" w:rsidP="00C243D2">
            <w:pPr>
              <w:autoSpaceDE w:val="0"/>
              <w:autoSpaceDN w:val="0"/>
              <w:adjustRightInd w:val="0"/>
              <w:spacing w:after="0" w:line="240" w:lineRule="auto"/>
              <w:ind w:left="-1691" w:right="-1417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32"/>
                <w:szCs w:val="32"/>
                <w:lang w:val="nl-NL"/>
                <w14:ligatures w14:val="none"/>
              </w:rPr>
            </w:pPr>
          </w:p>
        </w:tc>
      </w:tr>
    </w:tbl>
    <w:p w14:paraId="77F8B33E" w14:textId="77777777" w:rsidR="009C4218" w:rsidRDefault="009C4218" w:rsidP="009C4218">
      <w:pPr>
        <w:autoSpaceDE w:val="0"/>
        <w:autoSpaceDN w:val="0"/>
        <w:adjustRightInd w:val="0"/>
        <w:spacing w:after="0" w:line="240" w:lineRule="auto"/>
        <w:ind w:left="-1691" w:right="-1417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15B5B0CF" w14:textId="67CA2648" w:rsidR="002A56BD" w:rsidRPr="009C4218" w:rsidRDefault="009C4218" w:rsidP="009C4218">
      <w:pPr>
        <w:autoSpaceDE w:val="0"/>
        <w:autoSpaceDN w:val="0"/>
        <w:adjustRightInd w:val="0"/>
        <w:spacing w:after="0" w:line="240" w:lineRule="auto"/>
        <w:ind w:left="-1691" w:right="-1417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 xml:space="preserve">   </w:t>
      </w:r>
      <w:r w:rsidR="00C243D2" w:rsidRPr="00C243D2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Weekend Luxemburg</w:t>
      </w:r>
      <w:r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 xml:space="preserve"> </w:t>
      </w:r>
      <w:r w:rsidR="00C243D2" w:rsidRPr="00C243D2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19 – 22 Sep 2024</w:t>
      </w:r>
    </w:p>
    <w:p w14:paraId="4A19BAB0" w14:textId="77777777" w:rsidR="00C243D2" w:rsidRDefault="00C243D2" w:rsidP="00C243D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BD8A41F" w14:textId="30D1FDBF" w:rsidR="009C4218" w:rsidRDefault="009C4218" w:rsidP="009C4218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66570D" wp14:editId="77CD23FC">
            <wp:extent cx="3243258" cy="2163041"/>
            <wp:effectExtent l="19050" t="19050" r="14605" b="27940"/>
            <wp:docPr id="8713159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492" cy="21932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C39D07" w14:textId="77777777" w:rsidR="009C4218" w:rsidRDefault="009C4218" w:rsidP="00C243D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F978369" w14:textId="77777777" w:rsidR="00C243D2" w:rsidRDefault="00C243D2" w:rsidP="00C243D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C243D2">
        <w:rPr>
          <w:rFonts w:ascii="Times New Roman" w:hAnsi="Times New Roman" w:cs="Times New Roman"/>
          <w:sz w:val="24"/>
          <w:szCs w:val="24"/>
        </w:rPr>
        <w:t>Gezien de beperkte afstanden en de immer duurder wordende busreizen wordt gekozen voor de verplaatsing per auto (pooling).</w:t>
      </w:r>
    </w:p>
    <w:p w14:paraId="737CCD21" w14:textId="77777777" w:rsidR="003E2C21" w:rsidRPr="00C243D2" w:rsidRDefault="003E2C21" w:rsidP="00C243D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299347A" w14:textId="1C472BDA" w:rsidR="00C243D2" w:rsidRDefault="00C243D2" w:rsidP="00C243D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C243D2">
        <w:rPr>
          <w:rFonts w:ascii="Times New Roman" w:hAnsi="Times New Roman" w:cs="Times New Roman"/>
          <w:sz w:val="24"/>
          <w:szCs w:val="24"/>
        </w:rPr>
        <w:t xml:space="preserve">Op de heenreis laten we ons rondleiden in de mystieke </w:t>
      </w:r>
      <w:r w:rsidRPr="003E2C21">
        <w:rPr>
          <w:rFonts w:ascii="Times New Roman" w:hAnsi="Times New Roman" w:cs="Times New Roman"/>
          <w:b/>
          <w:bCs/>
          <w:sz w:val="24"/>
          <w:szCs w:val="24"/>
        </w:rPr>
        <w:t xml:space="preserve">Abdij </w:t>
      </w:r>
      <w:proofErr w:type="spellStart"/>
      <w:r w:rsidRPr="003E2C21">
        <w:rPr>
          <w:rFonts w:ascii="Times New Roman" w:hAnsi="Times New Roman" w:cs="Times New Roman"/>
          <w:b/>
          <w:bCs/>
          <w:sz w:val="24"/>
          <w:szCs w:val="24"/>
        </w:rPr>
        <w:t>Notre</w:t>
      </w:r>
      <w:proofErr w:type="spellEnd"/>
      <w:r w:rsidRPr="003E2C21">
        <w:rPr>
          <w:rFonts w:ascii="Times New Roman" w:hAnsi="Times New Roman" w:cs="Times New Roman"/>
          <w:b/>
          <w:bCs/>
          <w:sz w:val="24"/>
          <w:szCs w:val="24"/>
        </w:rPr>
        <w:t xml:space="preserve">-Dame </w:t>
      </w:r>
      <w:proofErr w:type="spellStart"/>
      <w:r w:rsidRPr="003E2C21">
        <w:rPr>
          <w:rFonts w:ascii="Times New Roman" w:hAnsi="Times New Roman" w:cs="Times New Roman"/>
          <w:b/>
          <w:bCs/>
          <w:sz w:val="24"/>
          <w:szCs w:val="24"/>
        </w:rPr>
        <w:t>d'Orval</w:t>
      </w:r>
      <w:proofErr w:type="spellEnd"/>
      <w:r w:rsidRPr="00C243D2">
        <w:rPr>
          <w:rFonts w:ascii="Times New Roman" w:hAnsi="Times New Roman" w:cs="Times New Roman"/>
          <w:sz w:val="24"/>
          <w:szCs w:val="24"/>
        </w:rPr>
        <w:t xml:space="preserve"> (uiteraard ook proeven) alvorens </w:t>
      </w:r>
      <w:r w:rsidR="0071673E">
        <w:rPr>
          <w:rFonts w:ascii="Times New Roman" w:hAnsi="Times New Roman" w:cs="Times New Roman"/>
          <w:sz w:val="24"/>
          <w:szCs w:val="24"/>
        </w:rPr>
        <w:t xml:space="preserve">voor 3 nachten </w:t>
      </w:r>
      <w:r w:rsidRPr="00C243D2">
        <w:rPr>
          <w:rFonts w:ascii="Times New Roman" w:hAnsi="Times New Roman" w:cs="Times New Roman"/>
          <w:sz w:val="24"/>
          <w:szCs w:val="24"/>
        </w:rPr>
        <w:t xml:space="preserve">onze intrek te nemen in het </w:t>
      </w:r>
      <w:r w:rsidRPr="003E2C21">
        <w:rPr>
          <w:rFonts w:ascii="Times New Roman" w:hAnsi="Times New Roman" w:cs="Times New Roman"/>
          <w:b/>
          <w:bCs/>
          <w:sz w:val="24"/>
          <w:szCs w:val="24"/>
        </w:rPr>
        <w:t>Best Western Plus Grand Hotel Victor Hugo****</w:t>
      </w:r>
      <w:r w:rsidRPr="00C243D2">
        <w:rPr>
          <w:rFonts w:ascii="Times New Roman" w:hAnsi="Times New Roman" w:cs="Times New Roman"/>
          <w:sz w:val="24"/>
          <w:szCs w:val="24"/>
        </w:rPr>
        <w:t xml:space="preserve"> in</w:t>
      </w:r>
      <w:r w:rsidR="00A905C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05CB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A905CB">
        <w:rPr>
          <w:rFonts w:ascii="Times New Roman" w:hAnsi="Times New Roman" w:cs="Times New Roman"/>
          <w:sz w:val="24"/>
          <w:szCs w:val="24"/>
        </w:rPr>
        <w:t xml:space="preserve"> Haute van</w:t>
      </w:r>
      <w:r w:rsidRPr="00C243D2">
        <w:rPr>
          <w:rFonts w:ascii="Times New Roman" w:hAnsi="Times New Roman" w:cs="Times New Roman"/>
          <w:sz w:val="24"/>
          <w:szCs w:val="24"/>
        </w:rPr>
        <w:t xml:space="preserve"> Luxemburg-stad.</w:t>
      </w:r>
    </w:p>
    <w:p w14:paraId="0D8CE46E" w14:textId="77777777" w:rsidR="003E2C21" w:rsidRPr="00C243D2" w:rsidRDefault="003E2C21" w:rsidP="00C243D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C6DCDE4" w14:textId="390D9AE6" w:rsidR="00C243D2" w:rsidRDefault="00C243D2" w:rsidP="00C243D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C243D2">
        <w:rPr>
          <w:rFonts w:ascii="Times New Roman" w:hAnsi="Times New Roman" w:cs="Times New Roman"/>
          <w:sz w:val="24"/>
          <w:szCs w:val="24"/>
        </w:rPr>
        <w:t xml:space="preserve">Op vrijdag – op weg naar de Moezel – stoppen we bij het graf van </w:t>
      </w:r>
      <w:r w:rsidRPr="003E2C21">
        <w:rPr>
          <w:rFonts w:ascii="Times New Roman" w:hAnsi="Times New Roman" w:cs="Times New Roman"/>
          <w:b/>
          <w:bCs/>
          <w:sz w:val="24"/>
          <w:szCs w:val="24"/>
        </w:rPr>
        <w:t>Generaal Patton</w:t>
      </w:r>
      <w:r w:rsidRPr="00C243D2">
        <w:rPr>
          <w:rFonts w:ascii="Times New Roman" w:hAnsi="Times New Roman" w:cs="Times New Roman"/>
          <w:sz w:val="24"/>
          <w:szCs w:val="24"/>
        </w:rPr>
        <w:t xml:space="preserve"> op de Amerikaanse begraafplaats in </w:t>
      </w:r>
      <w:r w:rsidRPr="00A905CB">
        <w:rPr>
          <w:rFonts w:ascii="Times New Roman" w:hAnsi="Times New Roman" w:cs="Times New Roman"/>
          <w:b/>
          <w:bCs/>
          <w:sz w:val="24"/>
          <w:szCs w:val="24"/>
        </w:rPr>
        <w:t>Hamm</w:t>
      </w:r>
      <w:r w:rsidRPr="00C243D2">
        <w:rPr>
          <w:rFonts w:ascii="Times New Roman" w:hAnsi="Times New Roman" w:cs="Times New Roman"/>
          <w:sz w:val="24"/>
          <w:szCs w:val="24"/>
        </w:rPr>
        <w:t xml:space="preserve"> en </w:t>
      </w:r>
      <w:r w:rsidR="003E2C21">
        <w:rPr>
          <w:rFonts w:ascii="Times New Roman" w:hAnsi="Times New Roman" w:cs="Times New Roman"/>
          <w:sz w:val="24"/>
          <w:szCs w:val="24"/>
        </w:rPr>
        <w:t xml:space="preserve">daarna </w:t>
      </w:r>
      <w:r w:rsidRPr="00C243D2">
        <w:rPr>
          <w:rFonts w:ascii="Times New Roman" w:hAnsi="Times New Roman" w:cs="Times New Roman"/>
          <w:sz w:val="24"/>
          <w:szCs w:val="24"/>
        </w:rPr>
        <w:t xml:space="preserve">op de Duitse begraafplaats van </w:t>
      </w:r>
      <w:proofErr w:type="spellStart"/>
      <w:r w:rsidRPr="00A905CB">
        <w:rPr>
          <w:rFonts w:ascii="Times New Roman" w:hAnsi="Times New Roman" w:cs="Times New Roman"/>
          <w:b/>
          <w:bCs/>
          <w:sz w:val="24"/>
          <w:szCs w:val="24"/>
        </w:rPr>
        <w:t>Sandweiler</w:t>
      </w:r>
      <w:proofErr w:type="spellEnd"/>
      <w:r w:rsidRPr="00C243D2">
        <w:rPr>
          <w:rFonts w:ascii="Times New Roman" w:hAnsi="Times New Roman" w:cs="Times New Roman"/>
          <w:sz w:val="24"/>
          <w:szCs w:val="24"/>
        </w:rPr>
        <w:t>.</w:t>
      </w:r>
      <w:r w:rsidR="003E2C21">
        <w:rPr>
          <w:rFonts w:ascii="Times New Roman" w:hAnsi="Times New Roman" w:cs="Times New Roman"/>
          <w:sz w:val="24"/>
          <w:szCs w:val="24"/>
        </w:rPr>
        <w:t xml:space="preserve"> Boven op de </w:t>
      </w:r>
      <w:proofErr w:type="spellStart"/>
      <w:r w:rsidR="003E2C21" w:rsidRPr="00A905CB">
        <w:rPr>
          <w:rFonts w:ascii="Times New Roman" w:hAnsi="Times New Roman" w:cs="Times New Roman"/>
          <w:b/>
          <w:bCs/>
          <w:sz w:val="24"/>
          <w:szCs w:val="24"/>
        </w:rPr>
        <w:t>Scheierbierg</w:t>
      </w:r>
      <w:proofErr w:type="spellEnd"/>
      <w:r w:rsidR="003E2C21">
        <w:rPr>
          <w:rFonts w:ascii="Times New Roman" w:hAnsi="Times New Roman" w:cs="Times New Roman"/>
          <w:sz w:val="24"/>
          <w:szCs w:val="24"/>
        </w:rPr>
        <w:t xml:space="preserve">, met een ronduit overweldigend panorama op de Moezelvlakte, proeven we de Luxemburgse Riesling en Pinot </w:t>
      </w:r>
      <w:proofErr w:type="spellStart"/>
      <w:r w:rsidR="003E2C21">
        <w:rPr>
          <w:rFonts w:ascii="Times New Roman" w:hAnsi="Times New Roman" w:cs="Times New Roman"/>
          <w:sz w:val="24"/>
          <w:szCs w:val="24"/>
        </w:rPr>
        <w:t>Noir</w:t>
      </w:r>
      <w:proofErr w:type="spellEnd"/>
      <w:r w:rsidR="003E2C21">
        <w:rPr>
          <w:rFonts w:ascii="Times New Roman" w:hAnsi="Times New Roman" w:cs="Times New Roman"/>
          <w:sz w:val="24"/>
          <w:szCs w:val="24"/>
        </w:rPr>
        <w:t xml:space="preserve">. Na een </w:t>
      </w:r>
      <w:r w:rsidR="003E2C21" w:rsidRPr="0071673E">
        <w:rPr>
          <w:rFonts w:ascii="Times New Roman" w:hAnsi="Times New Roman" w:cs="Times New Roman"/>
          <w:b/>
          <w:bCs/>
          <w:sz w:val="24"/>
          <w:szCs w:val="24"/>
        </w:rPr>
        <w:t>boottocht op de Moezel</w:t>
      </w:r>
      <w:r w:rsidR="003E2C21">
        <w:rPr>
          <w:rFonts w:ascii="Times New Roman" w:hAnsi="Times New Roman" w:cs="Times New Roman"/>
          <w:sz w:val="24"/>
          <w:szCs w:val="24"/>
        </w:rPr>
        <w:t xml:space="preserve"> vanaf </w:t>
      </w:r>
      <w:proofErr w:type="spellStart"/>
      <w:r w:rsidR="003E2C21" w:rsidRPr="00A905CB">
        <w:rPr>
          <w:rFonts w:ascii="Times New Roman" w:hAnsi="Times New Roman" w:cs="Times New Roman"/>
          <w:b/>
          <w:bCs/>
          <w:sz w:val="24"/>
          <w:szCs w:val="24"/>
        </w:rPr>
        <w:t>Remich</w:t>
      </w:r>
      <w:proofErr w:type="spellEnd"/>
      <w:r w:rsidR="003E2C21">
        <w:rPr>
          <w:rFonts w:ascii="Times New Roman" w:hAnsi="Times New Roman" w:cs="Times New Roman"/>
          <w:sz w:val="24"/>
          <w:szCs w:val="24"/>
        </w:rPr>
        <w:t xml:space="preserve"> rijden we </w:t>
      </w:r>
      <w:r w:rsidR="0071673E">
        <w:rPr>
          <w:rFonts w:ascii="Times New Roman" w:hAnsi="Times New Roman" w:cs="Times New Roman"/>
          <w:sz w:val="24"/>
          <w:szCs w:val="24"/>
        </w:rPr>
        <w:t xml:space="preserve">nog </w:t>
      </w:r>
      <w:r w:rsidR="003E2C21">
        <w:rPr>
          <w:rFonts w:ascii="Times New Roman" w:hAnsi="Times New Roman" w:cs="Times New Roman"/>
          <w:sz w:val="24"/>
          <w:szCs w:val="24"/>
        </w:rPr>
        <w:t xml:space="preserve">naar </w:t>
      </w:r>
      <w:r w:rsidR="003E2C21" w:rsidRPr="0071673E">
        <w:rPr>
          <w:rFonts w:ascii="Times New Roman" w:hAnsi="Times New Roman" w:cs="Times New Roman"/>
          <w:b/>
          <w:bCs/>
          <w:sz w:val="24"/>
          <w:szCs w:val="24"/>
        </w:rPr>
        <w:t>Schengen</w:t>
      </w:r>
      <w:r w:rsidR="003E2C21">
        <w:rPr>
          <w:rFonts w:ascii="Times New Roman" w:hAnsi="Times New Roman" w:cs="Times New Roman"/>
          <w:sz w:val="24"/>
          <w:szCs w:val="24"/>
        </w:rPr>
        <w:t xml:space="preserve"> voor </w:t>
      </w:r>
      <w:r w:rsidR="0071673E">
        <w:rPr>
          <w:rFonts w:ascii="Times New Roman" w:hAnsi="Times New Roman" w:cs="Times New Roman"/>
          <w:sz w:val="24"/>
          <w:szCs w:val="24"/>
        </w:rPr>
        <w:t xml:space="preserve">bezoek van </w:t>
      </w:r>
      <w:r w:rsidR="003E2C21">
        <w:rPr>
          <w:rFonts w:ascii="Times New Roman" w:hAnsi="Times New Roman" w:cs="Times New Roman"/>
          <w:sz w:val="24"/>
          <w:szCs w:val="24"/>
        </w:rPr>
        <w:t xml:space="preserve">het aldaar </w:t>
      </w:r>
      <w:r w:rsidR="0071673E">
        <w:rPr>
          <w:rFonts w:ascii="Times New Roman" w:hAnsi="Times New Roman" w:cs="Times New Roman"/>
          <w:sz w:val="24"/>
          <w:szCs w:val="24"/>
        </w:rPr>
        <w:t xml:space="preserve">opgerichte museum </w:t>
      </w:r>
      <w:proofErr w:type="spellStart"/>
      <w:r w:rsidR="0071673E">
        <w:rPr>
          <w:rFonts w:ascii="Times New Roman" w:hAnsi="Times New Roman" w:cs="Times New Roman"/>
          <w:sz w:val="24"/>
          <w:szCs w:val="24"/>
        </w:rPr>
        <w:t>ivm</w:t>
      </w:r>
      <w:proofErr w:type="spellEnd"/>
      <w:r w:rsidR="0071673E">
        <w:rPr>
          <w:rFonts w:ascii="Times New Roman" w:hAnsi="Times New Roman" w:cs="Times New Roman"/>
          <w:sz w:val="24"/>
          <w:szCs w:val="24"/>
        </w:rPr>
        <w:t xml:space="preserve"> het “Akkoord van Schengen” alvorens terug te keren naar Luxemburg.</w:t>
      </w:r>
    </w:p>
    <w:p w14:paraId="7CF20F38" w14:textId="77777777" w:rsidR="0071673E" w:rsidRDefault="0071673E" w:rsidP="00C243D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D841755" w14:textId="43302B50" w:rsidR="0071673E" w:rsidRDefault="0071673E" w:rsidP="00C243D2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 zaterdag laten we de auto op stal en verkennen we te voet de pocketstad Luxemburg. Via openbare liften en een funiculaire overbruggen we de toch wel imposante hoogteverschillen van deze </w:t>
      </w:r>
      <w:proofErr w:type="spellStart"/>
      <w:r>
        <w:rPr>
          <w:rFonts w:ascii="Times New Roman" w:hAnsi="Times New Roman" w:cs="Times New Roman"/>
          <w:sz w:val="24"/>
          <w:szCs w:val="24"/>
        </w:rPr>
        <w:t>Vauban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-stad. We wandelen in de </w:t>
      </w:r>
      <w:r w:rsidRPr="00A905CB">
        <w:rPr>
          <w:rFonts w:ascii="Times New Roman" w:hAnsi="Times New Roman" w:cs="Times New Roman"/>
          <w:b/>
          <w:bCs/>
          <w:sz w:val="24"/>
          <w:szCs w:val="24"/>
        </w:rPr>
        <w:t>Europese wijk</w:t>
      </w:r>
      <w:r>
        <w:rPr>
          <w:rFonts w:ascii="Times New Roman" w:hAnsi="Times New Roman" w:cs="Times New Roman"/>
          <w:sz w:val="24"/>
          <w:szCs w:val="24"/>
        </w:rPr>
        <w:t xml:space="preserve"> met zijn talrijke instellingen en bezoeken het nationaal museum </w:t>
      </w:r>
      <w:r w:rsidRPr="00A905CB">
        <w:rPr>
          <w:rFonts w:ascii="Times New Roman" w:hAnsi="Times New Roman" w:cs="Times New Roman"/>
          <w:b/>
          <w:bCs/>
          <w:sz w:val="24"/>
          <w:szCs w:val="24"/>
        </w:rPr>
        <w:t xml:space="preserve">Fort </w:t>
      </w:r>
      <w:proofErr w:type="spellStart"/>
      <w:r w:rsidRPr="00A905CB">
        <w:rPr>
          <w:rFonts w:ascii="Times New Roman" w:hAnsi="Times New Roman" w:cs="Times New Roman"/>
          <w:b/>
          <w:bCs/>
          <w:sz w:val="24"/>
          <w:szCs w:val="24"/>
        </w:rPr>
        <w:t>Thüngen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het </w:t>
      </w:r>
      <w:r w:rsidR="004A27C2" w:rsidRPr="00A905CB">
        <w:rPr>
          <w:rFonts w:ascii="Times New Roman" w:hAnsi="Times New Roman" w:cs="Times New Roman"/>
          <w:b/>
          <w:bCs/>
          <w:sz w:val="24"/>
          <w:szCs w:val="24"/>
        </w:rPr>
        <w:t>Groothertogelijk Paleis</w:t>
      </w:r>
      <w:r w:rsidR="004A27C2" w:rsidRPr="004A27C2">
        <w:rPr>
          <w:rFonts w:ascii="Times New Roman" w:hAnsi="Times New Roman" w:cs="Times New Roman"/>
          <w:sz w:val="24"/>
          <w:szCs w:val="24"/>
        </w:rPr>
        <w:t xml:space="preserve"> </w:t>
      </w:r>
      <w:r w:rsidR="004A27C2">
        <w:rPr>
          <w:rFonts w:ascii="Times New Roman" w:hAnsi="Times New Roman" w:cs="Times New Roman"/>
          <w:sz w:val="24"/>
          <w:szCs w:val="24"/>
        </w:rPr>
        <w:t xml:space="preserve">en de </w:t>
      </w:r>
      <w:r w:rsidR="004A27C2" w:rsidRPr="00A905CB">
        <w:rPr>
          <w:rFonts w:ascii="Times New Roman" w:hAnsi="Times New Roman" w:cs="Times New Roman"/>
          <w:b/>
          <w:bCs/>
          <w:sz w:val="24"/>
          <w:szCs w:val="24"/>
        </w:rPr>
        <w:t>OLV-Kathedraal</w:t>
      </w:r>
      <w:r w:rsidR="004A27C2" w:rsidRPr="004A2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alvorens van een glaasje te genieten op het gezellige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d’Armes</w:t>
      </w:r>
      <w:proofErr w:type="spellEnd"/>
      <w:r w:rsidR="004A27C2">
        <w:rPr>
          <w:rFonts w:ascii="Times New Roman" w:hAnsi="Times New Roman" w:cs="Times New Roman"/>
          <w:sz w:val="24"/>
          <w:szCs w:val="24"/>
        </w:rPr>
        <w:t>.</w:t>
      </w:r>
    </w:p>
    <w:p w14:paraId="0A3EDCF0" w14:textId="77777777" w:rsidR="004A27C2" w:rsidRDefault="004A27C2" w:rsidP="00C243D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AE29FEF" w14:textId="090D1265" w:rsidR="004A27C2" w:rsidRDefault="004A27C2" w:rsidP="00C243D2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 de terugreis op zondag </w:t>
      </w:r>
      <w:r w:rsidR="00A905CB">
        <w:rPr>
          <w:rFonts w:ascii="Times New Roman" w:hAnsi="Times New Roman" w:cs="Times New Roman"/>
          <w:sz w:val="24"/>
          <w:szCs w:val="24"/>
        </w:rPr>
        <w:t>passeren</w:t>
      </w:r>
      <w:r>
        <w:rPr>
          <w:rFonts w:ascii="Times New Roman" w:hAnsi="Times New Roman" w:cs="Times New Roman"/>
          <w:sz w:val="24"/>
          <w:szCs w:val="24"/>
        </w:rPr>
        <w:t xml:space="preserve"> we eerst </w:t>
      </w:r>
      <w:r w:rsidR="00A905CB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het immens </w:t>
      </w:r>
      <w:r w:rsidR="00187BE5">
        <w:rPr>
          <w:rFonts w:ascii="Times New Roman" w:hAnsi="Times New Roman" w:cs="Times New Roman"/>
          <w:sz w:val="24"/>
          <w:szCs w:val="24"/>
        </w:rPr>
        <w:t xml:space="preserve">Luxemburgs </w:t>
      </w:r>
      <w:r>
        <w:rPr>
          <w:rFonts w:ascii="Times New Roman" w:hAnsi="Times New Roman" w:cs="Times New Roman"/>
          <w:sz w:val="24"/>
          <w:szCs w:val="24"/>
        </w:rPr>
        <w:t xml:space="preserve">shoppingcenter van </w:t>
      </w:r>
      <w:proofErr w:type="spellStart"/>
      <w:r w:rsidRPr="00A905CB">
        <w:rPr>
          <w:rFonts w:ascii="Times New Roman" w:hAnsi="Times New Roman" w:cs="Times New Roman"/>
          <w:b/>
          <w:bCs/>
          <w:sz w:val="24"/>
          <w:szCs w:val="24"/>
        </w:rPr>
        <w:t>Pommerloch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alvorens in </w:t>
      </w:r>
      <w:r w:rsidRPr="00A905CB">
        <w:rPr>
          <w:rFonts w:ascii="Times New Roman" w:hAnsi="Times New Roman" w:cs="Times New Roman"/>
          <w:b/>
          <w:bCs/>
          <w:sz w:val="24"/>
          <w:szCs w:val="24"/>
        </w:rPr>
        <w:t>Bastogne</w:t>
      </w:r>
      <w:r>
        <w:rPr>
          <w:rFonts w:ascii="Times New Roman" w:hAnsi="Times New Roman" w:cs="Times New Roman"/>
          <w:sz w:val="24"/>
          <w:szCs w:val="24"/>
        </w:rPr>
        <w:t xml:space="preserve"> het Battle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museum te gaan bezoeken, als</w:t>
      </w:r>
      <w:r w:rsidR="00A905CB">
        <w:rPr>
          <w:rFonts w:ascii="Times New Roman" w:hAnsi="Times New Roman" w:cs="Times New Roman"/>
          <w:sz w:val="24"/>
          <w:szCs w:val="24"/>
        </w:rPr>
        <w:t>ook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foxholes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het Bois Jacques en de pas opengestelde WO II kelder van Gen </w:t>
      </w:r>
      <w:proofErr w:type="spellStart"/>
      <w:r>
        <w:rPr>
          <w:rFonts w:ascii="Times New Roman" w:hAnsi="Times New Roman" w:cs="Times New Roman"/>
          <w:sz w:val="24"/>
          <w:szCs w:val="24"/>
        </w:rPr>
        <w:t>McAuliffe</w:t>
      </w:r>
      <w:proofErr w:type="spellEnd"/>
      <w:r w:rsidR="00A905CB">
        <w:rPr>
          <w:rFonts w:ascii="Times New Roman" w:hAnsi="Times New Roman" w:cs="Times New Roman"/>
          <w:sz w:val="24"/>
          <w:szCs w:val="24"/>
        </w:rPr>
        <w:t xml:space="preserve"> in de kazerne van Bastogne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D86F64" w14:textId="77777777" w:rsidR="009C4218" w:rsidRDefault="009C4218" w:rsidP="00C243D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FF11990" w14:textId="534CDC5E" w:rsidR="009C4218" w:rsidRDefault="009C4218" w:rsidP="009C4218">
      <w:pPr>
        <w:pStyle w:val="Geenafstan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koersdirectie</w:t>
      </w:r>
    </w:p>
    <w:p w14:paraId="0E7E771E" w14:textId="58E87870" w:rsidR="009C4218" w:rsidRPr="00C243D2" w:rsidRDefault="009C4218" w:rsidP="009C4218">
      <w:pPr>
        <w:pStyle w:val="Geenafstan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 &amp; Chris</w:t>
      </w:r>
    </w:p>
    <w:sectPr w:rsidR="009C4218" w:rsidRPr="00C243D2" w:rsidSect="00BD7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2"/>
    <w:rsid w:val="00024F1C"/>
    <w:rsid w:val="00187BE5"/>
    <w:rsid w:val="002A56BD"/>
    <w:rsid w:val="00305B77"/>
    <w:rsid w:val="003E2C21"/>
    <w:rsid w:val="004A27C2"/>
    <w:rsid w:val="0071673E"/>
    <w:rsid w:val="009A4647"/>
    <w:rsid w:val="009C4218"/>
    <w:rsid w:val="00A905CB"/>
    <w:rsid w:val="00BD7959"/>
    <w:rsid w:val="00C2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AB4D"/>
  <w15:chartTrackingRefBased/>
  <w15:docId w15:val="{EDCCA705-2C5A-4453-8D5C-CA55C452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24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24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24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24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24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24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24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24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24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4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24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24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243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43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43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43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43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43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24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24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24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4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24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243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243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243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24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243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243D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24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 Waele</dc:creator>
  <cp:keywords/>
  <dc:description/>
  <cp:lastModifiedBy>Chris De Waele</cp:lastModifiedBy>
  <cp:revision>5</cp:revision>
  <dcterms:created xsi:type="dcterms:W3CDTF">2024-04-11T08:06:00Z</dcterms:created>
  <dcterms:modified xsi:type="dcterms:W3CDTF">2024-04-11T09:03:00Z</dcterms:modified>
</cp:coreProperties>
</file>